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15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1984" w:dyaOrig="1437">
          <v:rect xmlns:o="urn:schemas-microsoft-com:office:office" xmlns:v="urn:schemas-microsoft-com:vml" id="rectole0000000000" style="width:99.200000pt;height:71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BRAVO COMPANY, 2ND BATTALION,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SPECIAL WARFARE TRAINING GROUP (AIRBORNE)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YUMA PROVING GROUND, ARIZONA  85365-0997</w:t>
      </w:r>
    </w:p>
    <w:p>
      <w:pPr>
        <w:tabs>
          <w:tab w:val="left" w:pos="915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AOJK-GPB-SB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20 May 2024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MEMORANDUM FOR Military Free Fall Parachutist Course (MFFPC) Students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SUBJECT:  Welcome Letter and In-processing Instructions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Congratulations on your selection to attend the Military Free Fall Parachutist Course (MFFPC) class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08-24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Students will stay in Bldg. 540 Candlewood Suites while at Yuma Proving Ground, AZ. Lodging will be arranged by the student and no Statements of Non-Availability will be given. Contact Candlewood Suites at (928) 388-6200.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915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Students may be billeted at Bldg. 506 MFFS Barracks (refer to bedding requirements in equipment list paragraph 7g).</w:t>
      </w:r>
    </w:p>
    <w:p>
      <w:pPr>
        <w:tabs>
          <w:tab w:val="left" w:pos="915" w:leader="none"/>
        </w:tabs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915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Meals are not provided,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FULL PER DEIM IS REQUIRED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tabs>
          <w:tab w:val="left" w:pos="915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Rental Cars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HIGHLY RECOMMENDED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; the first week of training students are required to drive themselves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FFFF00" w:val="clear"/>
        </w:rPr>
        <w:t xml:space="preserve">FIRST FORMATION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 begins at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0400 HLT 22 July 2024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 in the lobby of Bldg. 540 Candlewood Suites on Yuma Proving Ground, AZ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The uniform for first formation is the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service specific PT uniform and running shoes.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 Bring Water and food to support a full day of training. No baseball caps or headbands. Students may bring a change of clothes with them to change into following the MFFS Physical Fitness Assessment.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</w:p>
    <w:p>
      <w:pPr>
        <w:numPr>
          <w:ilvl w:val="0"/>
          <w:numId w:val="18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Students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FFFF00" w:val="clear"/>
        </w:rPr>
        <w:t xml:space="preserve">MUST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 bring Military Type Gloves to First Formation for Vertical Wind Tunnel training which will occur on Day One.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Students will be administered the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Military Free Fall School Physical Fitness Assessment (MFFSPFA) on day one before final in-processing.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Cadre will pick up students from Candlewood Suites and transport them to the MFFSPFA locations.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The MFFSPFA consists of four events: Hand Release Push-ups, Plank, Chin-up with Flexed Arm Hang and Two Mile Run.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Students MUST meet the minimum standard in each event to be admitted to the course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1080" w:type="dxa"/>
      </w:tblPr>
      <w:tblGrid>
        <w:gridCol w:w="2792"/>
        <w:gridCol w:w="2852"/>
        <w:gridCol w:w="2852"/>
      </w:tblGrid>
      <w:tr>
        <w:trPr>
          <w:trHeight w:val="1" w:hRule="atLeast"/>
          <w:jc w:val="left"/>
        </w:trPr>
        <w:tc>
          <w:tcPr>
            <w:tcW w:w="2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Event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Male Standard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Female Standard</w:t>
            </w:r>
          </w:p>
        </w:tc>
      </w:tr>
      <w:tr>
        <w:trPr>
          <w:trHeight w:val="1" w:hRule="atLeast"/>
          <w:jc w:val="left"/>
        </w:trPr>
        <w:tc>
          <w:tcPr>
            <w:tcW w:w="2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Hand Release Push-Ups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</w:tr>
      <w:tr>
        <w:trPr>
          <w:trHeight w:val="1" w:hRule="atLeast"/>
          <w:jc w:val="left"/>
        </w:trPr>
        <w:tc>
          <w:tcPr>
            <w:tcW w:w="2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Plank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2:35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2:35</w:t>
            </w:r>
          </w:p>
        </w:tc>
      </w:tr>
      <w:tr>
        <w:trPr>
          <w:trHeight w:val="1" w:hRule="atLeast"/>
          <w:jc w:val="left"/>
        </w:trPr>
        <w:tc>
          <w:tcPr>
            <w:tcW w:w="2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Chin-up with Flexed Arm Hold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with 10 second hold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 with 10 second hold</w:t>
            </w:r>
          </w:p>
        </w:tc>
      </w:tr>
      <w:tr>
        <w:trPr>
          <w:trHeight w:val="1" w:hRule="atLeast"/>
          <w:jc w:val="left"/>
        </w:trPr>
        <w:tc>
          <w:tcPr>
            <w:tcW w:w="2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Two-Mile Run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16:57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19:17</w:t>
            </w:r>
          </w:p>
        </w:tc>
      </w:tr>
    </w:tbl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All students will report with the following documentation: 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Military ID card and Identification Tags (needed for all jump Ops).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Copy of Travel orders for the duration of the course.  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8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Current physiological training card, AF 1274, AF Form 702, USASOC Form 4080, Navy Form 1550/28-NP-6 or USAAMC AA Form 484. HAPS card must remain current through completion of the course.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0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Copy of student’s current high altitude low opening (HALO) physical examination IAW AR 40-501, Chapter 5, paragraph 5-3 and Chapter 8 Para 8-14 and 8-19. Physicals must include DD2807, DD2808, DD2992 (up slip), waivers (if required) and all supporting documents (i.e. laboratory exam sheets, x-ray interpretations, etc.). 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2"/>
        </w:numPr>
        <w:tabs>
          <w:tab w:val="left" w:pos="915" w:leader="none"/>
        </w:tabs>
        <w:spacing w:before="0" w:after="0" w:line="240"/>
        <w:ind w:right="0" w:left="279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Ensure physical is current and complete IAW MFF Checklist, Medical Waiver Info, PRK worksheet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AUG2021.</w:t>
      </w:r>
    </w:p>
    <w:p>
      <w:pPr>
        <w:tabs>
          <w:tab w:val="left" w:pos="915" w:leader="none"/>
        </w:tabs>
        <w:spacing w:before="0" w:after="0" w:line="240"/>
        <w:ind w:right="0" w:left="279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279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FFFF00" w:val="clear"/>
        </w:rPr>
        <w:t xml:space="preserve">IMPORTANT: Students without proper medical documentation, IN HAND, at the time of in-processing will lose their slot to a student on the standby list.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</w:t>
      </w:r>
    </w:p>
    <w:p>
      <w:pPr>
        <w:tabs>
          <w:tab w:val="left" w:pos="915" w:leader="none"/>
        </w:tabs>
        <w:spacing w:before="0" w:after="0" w:line="240"/>
        <w:ind w:right="0" w:left="243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tabs>
          <w:tab w:val="left" w:pos="915" w:leader="none"/>
        </w:tabs>
        <w:spacing w:before="0" w:after="0" w:line="240"/>
        <w:ind w:right="0" w:left="279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Direct all medical questions to MFF Flight Surgeon at (928) 328-2438/4244/2203 or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MFFMED@socom.mil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7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National Guard, please ensure that your DEER's status is changed to "active duty" prior to your arrival. Your orders must state that you will be on active-duty status for not less than 30 days in order for you to be eligible for medical care at the YPG Health Clinic.  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9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Students are required to bring the following uniforms and equipment: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1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Serviceable duty uniform, 1ea. Service specific headgear with rank and/or insignia for graduation.</w:t>
      </w:r>
    </w:p>
    <w:p>
      <w:pPr>
        <w:tabs>
          <w:tab w:val="left" w:pos="915" w:leader="none"/>
        </w:tabs>
        <w:spacing w:before="0" w:after="0" w:line="240"/>
        <w:ind w:right="0" w:left="207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3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Serviceable field uniform, 2ea. Service specific for jump operations. 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5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Authorized 670-1 military boots (must be over the ankle and lace through eyelet type). Boots with open-hook eyelets are unacceptable for MFF operations. IAW USASOC REG 350-2, CHAPTER 5-2 PAGE.49.</w:t>
      </w:r>
    </w:p>
    <w:p>
      <w:pPr>
        <w:tabs>
          <w:tab w:val="left" w:pos="915" w:leader="none"/>
        </w:tabs>
        <w:spacing w:before="0" w:after="0" w:line="240"/>
        <w:ind w:right="0" w:left="279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7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PT uniform, 5ea. Service/unit specific, military in appearance, no “logos” are authorized on T-shirts. </w:t>
      </w:r>
    </w:p>
    <w:p>
      <w:pPr>
        <w:tabs>
          <w:tab w:val="left" w:pos="915" w:leader="none"/>
        </w:tabs>
        <w:spacing w:before="0" w:after="0" w:line="240"/>
        <w:ind w:right="0" w:left="207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9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Running shoes, 1ea.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1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Shower Shoes, 1ea.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3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Towel, 1 ea.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5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Military type gloves. Gloves must have leather palms and should not sacrifice dexterity. Gloves must be full fingered. 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7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Linens for twin size mattress to include pillow and blanket.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9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SORZ type goggles, clear (SUGGESTED, NOT REQUIRED)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1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Unit issued Night Vision, must be dual tube (PVS 31s recommended) (SUGGESTED, NOT REQUIRED)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3"/>
        </w:numPr>
        <w:tabs>
          <w:tab w:val="left" w:pos="915" w:leader="none"/>
        </w:tabs>
        <w:spacing w:before="0" w:after="0" w:line="240"/>
        <w:ind w:right="0" w:left="207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Peltor or MSA Tactical Communication Headset w/PTT. (SUGGESTED, NOT REQUIRED)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207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86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Standbys must be preapproved by the MFFS Company SGM. An OML is generated, and students will be notified at in-processing if they will be entered into the course. Send the service members name, rank, MOS, and reason for attending MFF to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FFFFFF" w:val="clear"/>
          </w:rPr>
          <w:t xml:space="preserve">dildanges.f.sumang.mil@socom.mil</w:t>
        </w:r>
      </w:hyperlink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8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FF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FFFF00" w:val="clear"/>
        </w:rPr>
        <w:t xml:space="preserve">Send all Medical documents to </w:t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MFFMED@socom.mil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FFFF00" w:val="clear"/>
        </w:rPr>
        <w:t xml:space="preserve"> NLT 2 weeks prior to ATTRS start date, for review by the MFF Flight Surgeon. 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0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Graduation will be held once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08-24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 is mission complete;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16 August 2024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00" w:val="clear"/>
        </w:rPr>
        <w:t xml:space="preserve"> is the last ATRRS training day of the course. Do not make travel plans until after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FFFF00" w:val="clear"/>
        </w:rPr>
        <w:t xml:space="preserve">1800 HLT 16 August 2024.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2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Additional course information found on MFFS-MFFPC website: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https://mffsmffpc.wixsite.com/my-site</w:t>
        </w:r>
      </w:hyperlink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6"/>
        </w:numPr>
        <w:tabs>
          <w:tab w:val="left" w:pos="915" w:leader="none"/>
        </w:tabs>
        <w:spacing w:before="0" w:after="0" w:line="48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MFFPC Study Guides</w:t>
      </w:r>
    </w:p>
    <w:p>
      <w:pPr>
        <w:numPr>
          <w:ilvl w:val="0"/>
          <w:numId w:val="96"/>
        </w:numPr>
        <w:tabs>
          <w:tab w:val="left" w:pos="915" w:leader="none"/>
        </w:tabs>
        <w:spacing w:before="0" w:after="0" w:line="48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MFF Checklist, Medical Waiver Info, PRK Worksheet</w:t>
      </w:r>
    </w:p>
    <w:p>
      <w:pPr>
        <w:numPr>
          <w:ilvl w:val="0"/>
          <w:numId w:val="96"/>
        </w:numPr>
        <w:tabs>
          <w:tab w:val="left" w:pos="915" w:leader="none"/>
        </w:tabs>
        <w:spacing w:before="0" w:after="0" w:line="48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USASOC 1161 Waiver Request</w:t>
      </w:r>
    </w:p>
    <w:p>
      <w:pPr>
        <w:numPr>
          <w:ilvl w:val="0"/>
          <w:numId w:val="96"/>
        </w:numPr>
        <w:tabs>
          <w:tab w:val="left" w:pos="915" w:leader="none"/>
        </w:tabs>
        <w:spacing w:before="0" w:after="0" w:line="48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Psych Waiver Example Memo</w:t>
      </w:r>
    </w:p>
    <w:p>
      <w:pPr>
        <w:numPr>
          <w:ilvl w:val="0"/>
          <w:numId w:val="96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Reference materials for the MFFPC are USSOCOM 350-3, USASOC 350-2, TC 3-18.11, MFFPC POI, and B 2/2 SWTG (A) SOP.</w:t>
      </w:r>
    </w:p>
    <w:p>
      <w:pPr>
        <w:tabs>
          <w:tab w:val="left" w:pos="915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Check website routinely, as reporting instructions and requirements can change: </w:t>
      </w: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https://mffsmffpc.wixsite.com/my-site</w:t>
        </w:r>
      </w:hyperlink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0"/>
        </w:numPr>
        <w:tabs>
          <w:tab w:val="left" w:pos="915" w:leader="none"/>
        </w:tabs>
        <w:spacing w:before="0" w:after="0" w:line="240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Point of contact for this memorandum is SFC Matthew Catrain at (928) 328-3636/3639 or </w:t>
      </w:r>
      <w:hyperlink xmlns:r="http://schemas.openxmlformats.org/officeDocument/2006/relationships" r:id="docRId7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mffs.mffpc@gmail.com</w:t>
        </w:r>
      </w:hyperlink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1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Matthew Catrain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SFC, USA</w:t>
      </w:r>
    </w:p>
    <w:p>
      <w:pPr>
        <w:tabs>
          <w:tab w:val="left" w:pos="915" w:leader="none"/>
        </w:tabs>
        <w:spacing w:before="0" w:after="0" w:line="24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MFFPC NCOIC</w:t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num w:numId="4">
    <w:abstractNumId w:val="216"/>
  </w:num>
  <w:num w:numId="6">
    <w:abstractNumId w:val="210"/>
  </w:num>
  <w:num w:numId="8">
    <w:abstractNumId w:val="204"/>
  </w:num>
  <w:num w:numId="10">
    <w:abstractNumId w:val="198"/>
  </w:num>
  <w:num w:numId="12">
    <w:abstractNumId w:val="192"/>
  </w:num>
  <w:num w:numId="14">
    <w:abstractNumId w:val="186"/>
  </w:num>
  <w:num w:numId="16">
    <w:abstractNumId w:val="180"/>
  </w:num>
  <w:num w:numId="18">
    <w:abstractNumId w:val="174"/>
  </w:num>
  <w:num w:numId="20">
    <w:abstractNumId w:val="168"/>
  </w:num>
  <w:num w:numId="22">
    <w:abstractNumId w:val="162"/>
  </w:num>
  <w:num w:numId="42">
    <w:abstractNumId w:val="156"/>
  </w:num>
  <w:num w:numId="44">
    <w:abstractNumId w:val="150"/>
  </w:num>
  <w:num w:numId="46">
    <w:abstractNumId w:val="144"/>
  </w:num>
  <w:num w:numId="48">
    <w:abstractNumId w:val="138"/>
  </w:num>
  <w:num w:numId="50">
    <w:abstractNumId w:val="132"/>
  </w:num>
  <w:num w:numId="52">
    <w:abstractNumId w:val="126"/>
  </w:num>
  <w:num w:numId="55">
    <w:abstractNumId w:val="120"/>
  </w:num>
  <w:num w:numId="57">
    <w:abstractNumId w:val="114"/>
  </w:num>
  <w:num w:numId="59">
    <w:abstractNumId w:val="108"/>
  </w:num>
  <w:num w:numId="61">
    <w:abstractNumId w:val="102"/>
  </w:num>
  <w:num w:numId="63">
    <w:abstractNumId w:val="96"/>
  </w:num>
  <w:num w:numId="65">
    <w:abstractNumId w:val="90"/>
  </w:num>
  <w:num w:numId="67">
    <w:abstractNumId w:val="84"/>
  </w:num>
  <w:num w:numId="69">
    <w:abstractNumId w:val="78"/>
  </w:num>
  <w:num w:numId="71">
    <w:abstractNumId w:val="72"/>
  </w:num>
  <w:num w:numId="73">
    <w:abstractNumId w:val="66"/>
  </w:num>
  <w:num w:numId="75">
    <w:abstractNumId w:val="60"/>
  </w:num>
  <w:num w:numId="77">
    <w:abstractNumId w:val="54"/>
  </w:num>
  <w:num w:numId="79">
    <w:abstractNumId w:val="48"/>
  </w:num>
  <w:num w:numId="81">
    <w:abstractNumId w:val="42"/>
  </w:num>
  <w:num w:numId="83">
    <w:abstractNumId w:val="36"/>
  </w:num>
  <w:num w:numId="86">
    <w:abstractNumId w:val="30"/>
  </w:num>
  <w:num w:numId="88">
    <w:abstractNumId w:val="24"/>
  </w:num>
  <w:num w:numId="90">
    <w:abstractNumId w:val="18"/>
  </w:num>
  <w:num w:numId="92">
    <w:abstractNumId w:val="12"/>
  </w:num>
  <w:num w:numId="96">
    <w:abstractNumId w:val="6"/>
  </w:num>
  <w:num w:numId="10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ildanges.f.sumang.mil@socom.mil" Id="docRId3" Type="http://schemas.openxmlformats.org/officeDocument/2006/relationships/hyperlink" /><Relationship TargetMode="External" Target="mailto:mffs.mffpc@gmail.com" Id="docRId7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mailto:MFFMED@socom.mil" Id="docRId2" Type="http://schemas.openxmlformats.org/officeDocument/2006/relationships/hyperlink" /><Relationship TargetMode="External" Target="mailto:MFFMED@socom.mil" Id="docRId4" Type="http://schemas.openxmlformats.org/officeDocument/2006/relationships/hyperlink" /><Relationship TargetMode="External" Target="https://mffsmffpc.wixsite.com/my-site" Id="docRId6" Type="http://schemas.openxmlformats.org/officeDocument/2006/relationships/hyperlink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s://mffsmffpc.wixsite.com/my-site" Id="docRId5" Type="http://schemas.openxmlformats.org/officeDocument/2006/relationships/hyperlink" /><Relationship Target="styles.xml" Id="docRId9" Type="http://schemas.openxmlformats.org/officeDocument/2006/relationships/styles" /></Relationships>
</file>